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0EA3" w14:textId="22370FBA"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b/>
          <w:bCs/>
          <w:color w:val="000000"/>
          <w:kern w:val="0"/>
          <w:sz w:val="24"/>
          <w:szCs w:val="24"/>
          <w:bdr w:val="none" w:sz="0" w:space="0" w:color="auto" w:frame="1"/>
          <w14:ligatures w14:val="none"/>
        </w:rPr>
        <w:t>Proposed title:</w:t>
      </w:r>
      <w:r w:rsidRPr="00047914">
        <w:rPr>
          <w:rFonts w:ascii="Calibri" w:eastAsia="Times New Roman" w:hAnsi="Calibri" w:cs="Calibri"/>
          <w:color w:val="000000"/>
          <w:kern w:val="0"/>
          <w:sz w:val="24"/>
          <w:szCs w:val="24"/>
          <w:bdr w:val="none" w:sz="0" w:space="0" w:color="auto" w:frame="1"/>
          <w14:ligatures w14:val="none"/>
        </w:rPr>
        <w:t> Gender, Diversity and Entrepreneurship from around the World</w:t>
      </w:r>
    </w:p>
    <w:p w14:paraId="6F786658"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color w:val="000000"/>
          <w:kern w:val="0"/>
          <w:sz w:val="24"/>
          <w:szCs w:val="24"/>
          <w:bdr w:val="none" w:sz="0" w:space="0" w:color="auto" w:frame="1"/>
          <w14:ligatures w14:val="none"/>
        </w:rPr>
        <w:t> </w:t>
      </w:r>
    </w:p>
    <w:p w14:paraId="78FB23B8"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b/>
          <w:bCs/>
          <w:color w:val="000000"/>
          <w:kern w:val="0"/>
          <w:sz w:val="24"/>
          <w:szCs w:val="24"/>
          <w:bdr w:val="none" w:sz="0" w:space="0" w:color="auto" w:frame="1"/>
          <w14:ligatures w14:val="none"/>
        </w:rPr>
        <w:t>Stream convenors:</w:t>
      </w:r>
      <w:r w:rsidRPr="00047914">
        <w:rPr>
          <w:rFonts w:ascii="Calibri" w:eastAsia="Times New Roman" w:hAnsi="Calibri" w:cs="Calibri"/>
          <w:color w:val="000000"/>
          <w:kern w:val="0"/>
          <w:sz w:val="24"/>
          <w:szCs w:val="24"/>
          <w:bdr w:val="none" w:sz="0" w:space="0" w:color="auto" w:frame="1"/>
          <w14:ligatures w14:val="none"/>
        </w:rPr>
        <w:t> Wendy Cukier, Toronto Metropolitan University, Susan Swayze George Washington University, Susan Trenholm, Mount St. Vincent University, (awaiting confirmation - Gina Grandy, University of Calgary and Francine Schlosser, University of Windsor and others)</w:t>
      </w:r>
    </w:p>
    <w:p w14:paraId="55963D75"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b/>
          <w:bCs/>
          <w:color w:val="000000"/>
          <w:kern w:val="0"/>
          <w:sz w:val="24"/>
          <w:szCs w:val="24"/>
          <w:bdr w:val="none" w:sz="0" w:space="0" w:color="auto" w:frame="1"/>
          <w14:ligatures w14:val="none"/>
        </w:rPr>
        <w:t> </w:t>
      </w:r>
    </w:p>
    <w:p w14:paraId="7FC095D4"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b/>
          <w:bCs/>
          <w:color w:val="000000"/>
          <w:kern w:val="0"/>
          <w:sz w:val="24"/>
          <w:szCs w:val="24"/>
          <w:bdr w:val="none" w:sz="0" w:space="0" w:color="auto" w:frame="1"/>
          <w14:ligatures w14:val="none"/>
        </w:rPr>
        <w:t>Stream overview:</w:t>
      </w:r>
      <w:r w:rsidRPr="00047914">
        <w:rPr>
          <w:rFonts w:ascii="Calibri" w:eastAsia="Times New Roman" w:hAnsi="Calibri" w:cs="Calibri"/>
          <w:color w:val="000000"/>
          <w:kern w:val="0"/>
          <w:sz w:val="24"/>
          <w:szCs w:val="24"/>
          <w:bdr w:val="none" w:sz="0" w:space="0" w:color="auto" w:frame="1"/>
          <w14:ligatures w14:val="none"/>
        </w:rPr>
        <w:t> According to the World Bank website (n.d.), Small and Medium Enterprises (SMEs) constitute approximately 90% of global businesses, over 50% of employment, and up to 40% of the GDP in emerging economies, underscoring their critical role in job creation and economic development. Despite this, segments such as women, Indigenous Peoples, Black and racialized people, 2SLGBTQ+ community members, persons living with disabilities, and immigrants confront significant barriers in entrepreneurship (Cukier et al., 2022). Additionally, women and diverse entrepreneurs face underrepresentation, especially in sectors like technology, leading to limited access to networks of similar role models, mentors, advisors, and investors, fostering an environment of information asymmetry, isolation, and exclusion (Olszewski and White, 2022).</w:t>
      </w:r>
    </w:p>
    <w:p w14:paraId="1A40EE8A"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color w:val="000000"/>
          <w:kern w:val="0"/>
          <w:sz w:val="24"/>
          <w:szCs w:val="24"/>
          <w:bdr w:val="none" w:sz="0" w:space="0" w:color="auto" w:frame="1"/>
          <w14:ligatures w14:val="none"/>
        </w:rPr>
        <w:t> </w:t>
      </w:r>
    </w:p>
    <w:p w14:paraId="480BD5CF"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color w:val="000000"/>
          <w:kern w:val="0"/>
          <w:sz w:val="24"/>
          <w:szCs w:val="24"/>
          <w:bdr w:val="none" w:sz="0" w:space="0" w:color="auto" w:frame="1"/>
          <w14:ligatures w14:val="none"/>
        </w:rPr>
        <w:t xml:space="preserve">Recent advancements in entrepreneurship research have embraced an intersectional approach, examining the nuanced barriers faced by individuals belonging to multiple equity-deserving groups and advocating for a more inclusive entrepreneurial ecosystem (Meyer, </w:t>
      </w:r>
      <w:proofErr w:type="spellStart"/>
      <w:r w:rsidRPr="00047914">
        <w:rPr>
          <w:rFonts w:ascii="Calibri" w:eastAsia="Times New Roman" w:hAnsi="Calibri" w:cs="Calibri"/>
          <w:color w:val="000000"/>
          <w:kern w:val="0"/>
          <w:sz w:val="24"/>
          <w:szCs w:val="24"/>
          <w:bdr w:val="none" w:sz="0" w:space="0" w:color="auto" w:frame="1"/>
          <w14:ligatures w14:val="none"/>
        </w:rPr>
        <w:t>Pakura</w:t>
      </w:r>
      <w:proofErr w:type="spellEnd"/>
      <w:r w:rsidRPr="00047914">
        <w:rPr>
          <w:rFonts w:ascii="Calibri" w:eastAsia="Times New Roman" w:hAnsi="Calibri" w:cs="Calibri"/>
          <w:color w:val="000000"/>
          <w:kern w:val="0"/>
          <w:sz w:val="24"/>
          <w:szCs w:val="24"/>
          <w:bdr w:val="none" w:sz="0" w:space="0" w:color="auto" w:frame="1"/>
          <w14:ligatures w14:val="none"/>
        </w:rPr>
        <w:t>, &amp; Seidel, 2021). This approach is essential for understanding the impact of societal, organizational, and individual factors on entrepreneurial success, particularly for underrepresented groups (Cukier et al., 2022).</w:t>
      </w:r>
    </w:p>
    <w:p w14:paraId="09165074"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color w:val="000000"/>
          <w:kern w:val="0"/>
          <w:sz w:val="24"/>
          <w:szCs w:val="24"/>
          <w:bdr w:val="none" w:sz="0" w:space="0" w:color="auto" w:frame="1"/>
          <w14:ligatures w14:val="none"/>
        </w:rPr>
        <w:t> </w:t>
      </w:r>
    </w:p>
    <w:p w14:paraId="381914FC"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color w:val="000000"/>
          <w:kern w:val="0"/>
          <w:sz w:val="24"/>
          <w:szCs w:val="24"/>
          <w:bdr w:val="none" w:sz="0" w:space="0" w:color="auto" w:frame="1"/>
          <w14:ligatures w14:val="none"/>
        </w:rPr>
        <w:t>The stream will explore how gender and social role theories intersect with entrepreneurship, recognizing the historical underrepresentation of women in the entrepreneurial landscape (</w:t>
      </w:r>
      <w:proofErr w:type="spellStart"/>
      <w:r w:rsidRPr="00047914">
        <w:rPr>
          <w:rFonts w:ascii="Calibri" w:eastAsia="Times New Roman" w:hAnsi="Calibri" w:cs="Calibri"/>
          <w:color w:val="000000"/>
          <w:kern w:val="0"/>
          <w:sz w:val="24"/>
          <w:szCs w:val="24"/>
          <w:bdr w:val="none" w:sz="0" w:space="0" w:color="auto" w:frame="1"/>
          <w14:ligatures w14:val="none"/>
        </w:rPr>
        <w:t>BarNir</w:t>
      </w:r>
      <w:proofErr w:type="spellEnd"/>
      <w:r w:rsidRPr="00047914">
        <w:rPr>
          <w:rFonts w:ascii="Calibri" w:eastAsia="Times New Roman" w:hAnsi="Calibri" w:cs="Calibri"/>
          <w:color w:val="000000"/>
          <w:kern w:val="0"/>
          <w:sz w:val="24"/>
          <w:szCs w:val="24"/>
          <w:bdr w:val="none" w:sz="0" w:space="0" w:color="auto" w:frame="1"/>
          <w14:ligatures w14:val="none"/>
        </w:rPr>
        <w:t>, 2021), and examining the experiences of mother entrepreneurs within an ecological model framework, considering societal, organizational, and individual challenges (De Simone &amp; Priola, 2022).</w:t>
      </w:r>
    </w:p>
    <w:p w14:paraId="3546CCC8"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color w:val="000000"/>
          <w:kern w:val="0"/>
          <w:sz w:val="24"/>
          <w:szCs w:val="24"/>
          <w:bdr w:val="none" w:sz="0" w:space="0" w:color="auto" w:frame="1"/>
          <w14:ligatures w14:val="none"/>
        </w:rPr>
        <w:t> </w:t>
      </w:r>
    </w:p>
    <w:p w14:paraId="782AE833" w14:textId="77777777" w:rsidR="00047914" w:rsidRPr="00047914" w:rsidRDefault="00047914" w:rsidP="00047914">
      <w:pPr>
        <w:shd w:val="clear" w:color="auto" w:fill="FFFFFF"/>
        <w:spacing w:after="12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b/>
          <w:bCs/>
          <w:color w:val="000000"/>
          <w:kern w:val="0"/>
          <w:sz w:val="24"/>
          <w:szCs w:val="24"/>
          <w:bdr w:val="none" w:sz="0" w:space="0" w:color="auto" w:frame="1"/>
          <w14:ligatures w14:val="none"/>
        </w:rPr>
        <w:t>Suggested topics for the stream:</w:t>
      </w:r>
    </w:p>
    <w:p w14:paraId="2AFF8ACB" w14:textId="51798166" w:rsidR="00047914" w:rsidRPr="00047914" w:rsidRDefault="00047914" w:rsidP="00047914">
      <w:pPr>
        <w:numPr>
          <w:ilvl w:val="0"/>
          <w:numId w:val="1"/>
        </w:numPr>
        <w:spacing w:after="120"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b/>
          <w:bCs/>
          <w:color w:val="000000"/>
          <w:kern w:val="0"/>
          <w:sz w:val="24"/>
          <w:szCs w:val="24"/>
          <w:bdr w:val="none" w:sz="0" w:space="0" w:color="auto" w:frame="1"/>
          <w14:ligatures w14:val="none"/>
        </w:rPr>
        <w:t>Intersectional Barriers in Entrepreneurship:</w:t>
      </w:r>
      <w:r w:rsidRPr="00047914">
        <w:rPr>
          <w:rFonts w:ascii="inherit" w:eastAsia="Times New Roman" w:hAnsi="inherit" w:cs="Calibri"/>
          <w:color w:val="000000"/>
          <w:kern w:val="0"/>
          <w:sz w:val="24"/>
          <w:szCs w:val="24"/>
          <w:bdr w:val="none" w:sz="0" w:space="0" w:color="auto" w:frame="1"/>
          <w14:ligatures w14:val="none"/>
        </w:rPr>
        <w:t xml:space="preserve"> Investigating how gender interacts with other identity factors like gender, race, sexual orientation, and disability among entrepreneurs (Knight, 2016; Marlow et al., 2018; Williams &amp; Patterson, 2019).</w:t>
      </w:r>
    </w:p>
    <w:p w14:paraId="429CB0D8" w14:textId="07C04B1D" w:rsidR="00047914" w:rsidRPr="00047914" w:rsidRDefault="00047914" w:rsidP="00047914">
      <w:pPr>
        <w:numPr>
          <w:ilvl w:val="0"/>
          <w:numId w:val="1"/>
        </w:numPr>
        <w:spacing w:before="100" w:beforeAutospacing="1" w:after="120"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b/>
          <w:bCs/>
          <w:color w:val="000000"/>
          <w:kern w:val="0"/>
          <w:sz w:val="24"/>
          <w:szCs w:val="24"/>
          <w:bdr w:val="none" w:sz="0" w:space="0" w:color="auto" w:frame="1"/>
          <w14:ligatures w14:val="none"/>
        </w:rPr>
        <w:t>Entrepreneurial Ecosystems and Inclusive Innovation:</w:t>
      </w:r>
      <w:r w:rsidRPr="00047914">
        <w:rPr>
          <w:rFonts w:ascii="inherit" w:eastAsia="Times New Roman" w:hAnsi="inherit" w:cs="Calibri"/>
          <w:color w:val="000000"/>
          <w:kern w:val="0"/>
          <w:sz w:val="24"/>
          <w:szCs w:val="24"/>
          <w:bdr w:val="none" w:sz="0" w:space="0" w:color="auto" w:frame="1"/>
          <w14:ligatures w14:val="none"/>
        </w:rPr>
        <w:t xml:space="preserve"> Examining how societal, organizational, and individual factors support or hinder entrepreneurship among equity-deserving groups (Cukier et al., 2022).</w:t>
      </w:r>
    </w:p>
    <w:p w14:paraId="7B36B718" w14:textId="16A00ED3" w:rsidR="00047914" w:rsidRPr="00047914" w:rsidRDefault="00047914" w:rsidP="00047914">
      <w:pPr>
        <w:numPr>
          <w:ilvl w:val="0"/>
          <w:numId w:val="1"/>
        </w:numPr>
        <w:spacing w:before="100" w:beforeAutospacing="1" w:after="120"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b/>
          <w:bCs/>
          <w:color w:val="000000"/>
          <w:kern w:val="0"/>
          <w:sz w:val="24"/>
          <w:szCs w:val="24"/>
          <w:bdr w:val="none" w:sz="0" w:space="0" w:color="auto" w:frame="1"/>
          <w14:ligatures w14:val="none"/>
        </w:rPr>
        <w:t>Gender Norms and Entrepreneurial Success:</w:t>
      </w:r>
      <w:r w:rsidRPr="00047914">
        <w:rPr>
          <w:rFonts w:ascii="inherit" w:eastAsia="Times New Roman" w:hAnsi="inherit" w:cs="Calibri"/>
          <w:color w:val="000000"/>
          <w:kern w:val="0"/>
          <w:sz w:val="24"/>
          <w:szCs w:val="24"/>
          <w:bdr w:val="none" w:sz="0" w:space="0" w:color="auto" w:frame="1"/>
          <w14:ligatures w14:val="none"/>
        </w:rPr>
        <w:t xml:space="preserve"> Analyzing how traditional gender norms and societal stereotypes impact the participation and success of women in entrepreneurship (</w:t>
      </w:r>
      <w:proofErr w:type="spellStart"/>
      <w:r w:rsidRPr="00047914">
        <w:rPr>
          <w:rFonts w:ascii="inherit" w:eastAsia="Times New Roman" w:hAnsi="inherit" w:cs="Calibri"/>
          <w:color w:val="000000"/>
          <w:kern w:val="0"/>
          <w:sz w:val="24"/>
          <w:szCs w:val="24"/>
          <w:bdr w:val="none" w:sz="0" w:space="0" w:color="auto" w:frame="1"/>
          <w14:ligatures w14:val="none"/>
        </w:rPr>
        <w:t>Eagly</w:t>
      </w:r>
      <w:proofErr w:type="spellEnd"/>
      <w:r w:rsidRPr="00047914">
        <w:rPr>
          <w:rFonts w:ascii="inherit" w:eastAsia="Times New Roman" w:hAnsi="inherit" w:cs="Calibri"/>
          <w:color w:val="000000"/>
          <w:kern w:val="0"/>
          <w:sz w:val="24"/>
          <w:szCs w:val="24"/>
          <w:bdr w:val="none" w:sz="0" w:space="0" w:color="auto" w:frame="1"/>
          <w14:ligatures w14:val="none"/>
        </w:rPr>
        <w:t xml:space="preserve"> &amp; Wood, 2012; Jule, 2014).</w:t>
      </w:r>
    </w:p>
    <w:p w14:paraId="106572AD" w14:textId="12DC3734" w:rsidR="00047914" w:rsidRPr="00047914" w:rsidRDefault="00047914" w:rsidP="00047914">
      <w:pPr>
        <w:numPr>
          <w:ilvl w:val="0"/>
          <w:numId w:val="1"/>
        </w:numPr>
        <w:spacing w:before="100" w:beforeAutospacing="1" w:after="120"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b/>
          <w:bCs/>
          <w:color w:val="000000"/>
          <w:kern w:val="0"/>
          <w:sz w:val="24"/>
          <w:szCs w:val="24"/>
          <w:bdr w:val="none" w:sz="0" w:space="0" w:color="auto" w:frame="1"/>
          <w14:ligatures w14:val="none"/>
        </w:rPr>
        <w:t>Motherhood and Entrepreneurship:</w:t>
      </w:r>
      <w:r w:rsidRPr="00047914">
        <w:rPr>
          <w:rFonts w:ascii="inherit" w:eastAsia="Times New Roman" w:hAnsi="inherit" w:cs="Calibri"/>
          <w:color w:val="000000"/>
          <w:kern w:val="0"/>
          <w:sz w:val="24"/>
          <w:szCs w:val="24"/>
          <w:bdr w:val="none" w:sz="0" w:space="0" w:color="auto" w:frame="1"/>
          <w14:ligatures w14:val="none"/>
        </w:rPr>
        <w:t xml:space="preserve"> Exploring the complexities of motherhood in entrepreneurship and the additional challenges faced by women who are mothers (Breen &amp; Leung, 2020).</w:t>
      </w:r>
    </w:p>
    <w:p w14:paraId="1EED20F4" w14:textId="77777777" w:rsidR="00047914" w:rsidRPr="00047914" w:rsidRDefault="00047914" w:rsidP="00047914">
      <w:pPr>
        <w:numPr>
          <w:ilvl w:val="0"/>
          <w:numId w:val="1"/>
        </w:numPr>
        <w:spacing w:after="120"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b/>
          <w:bCs/>
          <w:color w:val="000000"/>
          <w:kern w:val="0"/>
          <w:sz w:val="24"/>
          <w:szCs w:val="24"/>
          <w:bdr w:val="none" w:sz="0" w:space="0" w:color="auto" w:frame="1"/>
          <w14:ligatures w14:val="none"/>
        </w:rPr>
        <w:lastRenderedPageBreak/>
        <w:t>Financial Inclusion and Gender Bias:</w:t>
      </w:r>
      <w:r w:rsidRPr="00047914">
        <w:rPr>
          <w:rFonts w:ascii="inherit" w:eastAsia="Times New Roman" w:hAnsi="inherit" w:cs="Calibri"/>
          <w:color w:val="000000"/>
          <w:kern w:val="0"/>
          <w:sz w:val="24"/>
          <w:szCs w:val="24"/>
          <w:bdr w:val="none" w:sz="0" w:space="0" w:color="auto" w:frame="1"/>
          <w14:ligatures w14:val="none"/>
        </w:rPr>
        <w:t xml:space="preserve"> Investigating the financial challenges women entrepreneurs face, including access to capital and credit (Eddleston et al., 2016; Pico Gil &amp; Wendt, 2022).</w:t>
      </w:r>
    </w:p>
    <w:p w14:paraId="6B4EE474" w14:textId="5AE2FBC8" w:rsidR="00047914" w:rsidRPr="00047914" w:rsidRDefault="00047914" w:rsidP="00047914">
      <w:pPr>
        <w:numPr>
          <w:ilvl w:val="0"/>
          <w:numId w:val="1"/>
        </w:numPr>
        <w:spacing w:after="120"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b/>
          <w:bCs/>
          <w:color w:val="000000"/>
          <w:kern w:val="0"/>
          <w:sz w:val="24"/>
          <w:szCs w:val="24"/>
          <w:bdr w:val="none" w:sz="0" w:space="0" w:color="auto" w:frame="1"/>
          <w14:ligatures w14:val="none"/>
        </w:rPr>
        <w:t>Cultural Narratives and Women Entrepreneurs:</w:t>
      </w:r>
      <w:r w:rsidRPr="00047914">
        <w:rPr>
          <w:rFonts w:ascii="inherit" w:eastAsia="Times New Roman" w:hAnsi="inherit" w:cs="Calibri"/>
          <w:color w:val="000000"/>
          <w:kern w:val="0"/>
          <w:sz w:val="24"/>
          <w:szCs w:val="24"/>
          <w:bdr w:val="none" w:sz="0" w:space="0" w:color="auto" w:frame="1"/>
          <w14:ligatures w14:val="none"/>
        </w:rPr>
        <w:t xml:space="preserve"> Critiquing the “superwoman” narrative in entrepreneurship and its implications on gendered expectations (Byrne et al., 2019).</w:t>
      </w:r>
    </w:p>
    <w:p w14:paraId="4C9F32E5" w14:textId="77777777" w:rsidR="00047914" w:rsidRPr="00047914" w:rsidRDefault="00047914" w:rsidP="00047914">
      <w:pPr>
        <w:numPr>
          <w:ilvl w:val="0"/>
          <w:numId w:val="1"/>
        </w:numPr>
        <w:spacing w:after="120"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b/>
          <w:bCs/>
          <w:color w:val="000000"/>
          <w:kern w:val="0"/>
          <w:sz w:val="24"/>
          <w:szCs w:val="24"/>
          <w:bdr w:val="none" w:sz="0" w:space="0" w:color="auto" w:frame="1"/>
          <w14:ligatures w14:val="none"/>
        </w:rPr>
        <w:t>Policy Impact on Mother Entrepreneurs:</w:t>
      </w:r>
      <w:r w:rsidRPr="00047914">
        <w:rPr>
          <w:rFonts w:ascii="inherit" w:eastAsia="Times New Roman" w:hAnsi="inherit" w:cs="Calibri"/>
          <w:color w:val="000000"/>
          <w:kern w:val="0"/>
          <w:sz w:val="24"/>
          <w:szCs w:val="24"/>
          <w:bdr w:val="none" w:sz="0" w:space="0" w:color="auto" w:frame="1"/>
          <w14:ligatures w14:val="none"/>
        </w:rPr>
        <w:t xml:space="preserve"> Examining the efficacy of existing policies and their impact on mother entrepreneurs, with a focus on childcare and work-life balance (Goldstein et al., 2022).</w:t>
      </w:r>
    </w:p>
    <w:p w14:paraId="127065AB"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color w:val="000000"/>
          <w:kern w:val="0"/>
          <w:sz w:val="24"/>
          <w:szCs w:val="24"/>
          <w:bdr w:val="none" w:sz="0" w:space="0" w:color="auto" w:frame="1"/>
          <w14:ligatures w14:val="none"/>
        </w:rPr>
        <w:t> </w:t>
      </w:r>
    </w:p>
    <w:p w14:paraId="7CF908DD"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b/>
          <w:bCs/>
          <w:color w:val="000000"/>
          <w:kern w:val="0"/>
          <w:sz w:val="24"/>
          <w:szCs w:val="24"/>
          <w:bdr w:val="none" w:sz="0" w:space="0" w:color="auto" w:frame="1"/>
          <w14:ligatures w14:val="none"/>
        </w:rPr>
        <w:t>Stream Structure:</w:t>
      </w:r>
      <w:r w:rsidRPr="00047914">
        <w:rPr>
          <w:rFonts w:ascii="Calibri" w:eastAsia="Times New Roman" w:hAnsi="Calibri" w:cs="Calibri"/>
          <w:color w:val="000000"/>
          <w:kern w:val="0"/>
          <w:sz w:val="24"/>
          <w:szCs w:val="24"/>
          <w:bdr w:val="none" w:sz="0" w:space="0" w:color="auto" w:frame="1"/>
          <w14:ligatures w14:val="none"/>
        </w:rPr>
        <w:t> The stream will welcome empirical studies, theoretical explorations, and synthesis papers that contribute to the understanding of gender, diversity, and entrepreneurship from a global perspective, emphasizing the unique challenges faced by women and particularly mother entrepreneurs. This stream aims to cultivate an interdisciplinary dialogue that underscores the complexities and intersectional nature of gender diversity in global entrepreneurship, fostering a rich exchange of ideas and strategies to empower underrepresented entrepreneurs.</w:t>
      </w:r>
    </w:p>
    <w:p w14:paraId="78D60BE1" w14:textId="7777777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color w:val="000000"/>
          <w:kern w:val="0"/>
          <w:sz w:val="24"/>
          <w:szCs w:val="24"/>
          <w:bdr w:val="none" w:sz="0" w:space="0" w:color="auto" w:frame="1"/>
          <w14:ligatures w14:val="none"/>
        </w:rPr>
        <w:t> </w:t>
      </w:r>
    </w:p>
    <w:p w14:paraId="04BD9618" w14:textId="335C5707" w:rsidR="00047914" w:rsidRPr="00047914" w:rsidRDefault="00047914" w:rsidP="00047914">
      <w:pPr>
        <w:shd w:val="clear" w:color="auto" w:fill="FFFFFF"/>
        <w:spacing w:after="0" w:line="240" w:lineRule="auto"/>
        <w:rPr>
          <w:rFonts w:ascii="Segoe UI" w:eastAsia="Times New Roman" w:hAnsi="Segoe UI" w:cs="Segoe UI"/>
          <w:color w:val="242424"/>
          <w:kern w:val="0"/>
          <w:sz w:val="23"/>
          <w:szCs w:val="23"/>
          <w14:ligatures w14:val="none"/>
        </w:rPr>
      </w:pPr>
      <w:r w:rsidRPr="00047914">
        <w:rPr>
          <w:rFonts w:ascii="Calibri" w:eastAsia="Times New Roman" w:hAnsi="Calibri" w:cs="Calibri"/>
          <w:b/>
          <w:bCs/>
          <w:color w:val="000000"/>
          <w:kern w:val="0"/>
          <w:sz w:val="24"/>
          <w:szCs w:val="24"/>
          <w:bdr w:val="none" w:sz="0" w:space="0" w:color="auto" w:frame="1"/>
          <w14:ligatures w14:val="none"/>
        </w:rPr>
        <w:t>Reference:</w:t>
      </w:r>
    </w:p>
    <w:p w14:paraId="789B3268" w14:textId="7D785333" w:rsidR="00047914" w:rsidRPr="00047914" w:rsidRDefault="00047914" w:rsidP="00047914">
      <w:pPr>
        <w:numPr>
          <w:ilvl w:val="0"/>
          <w:numId w:val="2"/>
        </w:numPr>
        <w:spacing w:after="0" w:line="240" w:lineRule="auto"/>
        <w:textAlignment w:val="baseline"/>
        <w:rPr>
          <w:rFonts w:ascii="Calibri" w:eastAsia="Times New Roman" w:hAnsi="Calibri" w:cs="Calibri"/>
          <w:color w:val="000000"/>
          <w:kern w:val="0"/>
          <w:sz w:val="24"/>
          <w:szCs w:val="24"/>
          <w14:ligatures w14:val="none"/>
        </w:rPr>
      </w:pPr>
      <w:proofErr w:type="spellStart"/>
      <w:r w:rsidRPr="00047914">
        <w:rPr>
          <w:rFonts w:ascii="inherit" w:eastAsia="Times New Roman" w:hAnsi="inherit" w:cs="Calibri"/>
          <w:color w:val="000000"/>
          <w:kern w:val="0"/>
          <w:sz w:val="24"/>
          <w:szCs w:val="24"/>
          <w:bdr w:val="none" w:sz="0" w:space="0" w:color="auto" w:frame="1"/>
          <w14:ligatures w14:val="none"/>
        </w:rPr>
        <w:t>BarNir</w:t>
      </w:r>
      <w:proofErr w:type="spellEnd"/>
      <w:r w:rsidRPr="00047914">
        <w:rPr>
          <w:rFonts w:ascii="inherit" w:eastAsia="Times New Roman" w:hAnsi="inherit" w:cs="Calibri"/>
          <w:color w:val="000000"/>
          <w:kern w:val="0"/>
          <w:sz w:val="24"/>
          <w:szCs w:val="24"/>
          <w:bdr w:val="none" w:sz="0" w:space="0" w:color="auto" w:frame="1"/>
          <w14:ligatures w14:val="none"/>
        </w:rPr>
        <w:t xml:space="preserve">, A. (2021). To Venture or Not to Venture? Gender Stereotyping and Women’s Entrepreneurial Aspirations. </w:t>
      </w:r>
      <w:r w:rsidRPr="00047914">
        <w:rPr>
          <w:rFonts w:ascii="inherit" w:eastAsia="Times New Roman" w:hAnsi="inherit" w:cs="Calibri"/>
          <w:i/>
          <w:iCs/>
          <w:color w:val="000000"/>
          <w:kern w:val="0"/>
          <w:sz w:val="24"/>
          <w:szCs w:val="24"/>
          <w:bdr w:val="none" w:sz="0" w:space="0" w:color="auto" w:frame="1"/>
          <w14:ligatures w14:val="none"/>
        </w:rPr>
        <w:t>Sex Roles</w:t>
      </w:r>
      <w:r w:rsidRPr="00047914">
        <w:rPr>
          <w:rFonts w:ascii="inherit" w:eastAsia="Times New Roman" w:hAnsi="inherit" w:cs="Calibri"/>
          <w:color w:val="000000"/>
          <w:kern w:val="0"/>
          <w:sz w:val="24"/>
          <w:szCs w:val="24"/>
          <w:bdr w:val="none" w:sz="0" w:space="0" w:color="auto" w:frame="1"/>
          <w14:ligatures w14:val="none"/>
        </w:rPr>
        <w:t>. 85(6), 57–72.</w:t>
      </w:r>
    </w:p>
    <w:p w14:paraId="45D03FCB" w14:textId="53E60DA1" w:rsidR="00047914" w:rsidRPr="00047914" w:rsidRDefault="00047914" w:rsidP="007B6B0B">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t xml:space="preserve">Breen, R., &amp; Leung, A. (2020). Choosing mothering and entrepreneurship: a relational career-life process. </w:t>
      </w:r>
      <w:r w:rsidRPr="00047914">
        <w:rPr>
          <w:rFonts w:ascii="inherit" w:eastAsia="Times New Roman" w:hAnsi="inherit" w:cs="Calibri"/>
          <w:i/>
          <w:iCs/>
          <w:color w:val="000000"/>
          <w:kern w:val="0"/>
          <w:sz w:val="24"/>
          <w:szCs w:val="24"/>
          <w:bdr w:val="none" w:sz="0" w:space="0" w:color="auto" w:frame="1"/>
          <w14:ligatures w14:val="none"/>
        </w:rPr>
        <w:t>International Journal of Gender and Entrepreneurship, 12</w:t>
      </w:r>
      <w:r w:rsidRPr="00047914">
        <w:rPr>
          <w:rFonts w:ascii="inherit" w:eastAsia="Times New Roman" w:hAnsi="inherit" w:cs="Calibri"/>
          <w:color w:val="000000"/>
          <w:kern w:val="0"/>
          <w:sz w:val="24"/>
          <w:szCs w:val="24"/>
          <w:bdr w:val="none" w:sz="0" w:space="0" w:color="auto" w:frame="1"/>
          <w14:ligatures w14:val="none"/>
        </w:rPr>
        <w:t>, 253-271.</w:t>
      </w:r>
    </w:p>
    <w:p w14:paraId="786DF985" w14:textId="38D70809" w:rsidR="00047914" w:rsidRPr="00047914" w:rsidRDefault="00047914" w:rsidP="00F13E1C">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t xml:space="preserve">Cukier, W., Gagnon, S., Dalziel, M., Grant, K., Laplume, A., </w:t>
      </w:r>
      <w:proofErr w:type="spellStart"/>
      <w:r w:rsidRPr="00047914">
        <w:rPr>
          <w:rFonts w:ascii="inherit" w:eastAsia="Times New Roman" w:hAnsi="inherit" w:cs="Calibri"/>
          <w:color w:val="000000"/>
          <w:kern w:val="0"/>
          <w:sz w:val="24"/>
          <w:szCs w:val="24"/>
          <w:bdr w:val="none" w:sz="0" w:space="0" w:color="auto" w:frame="1"/>
          <w14:ligatures w14:val="none"/>
        </w:rPr>
        <w:t>Ozkazanc</w:t>
      </w:r>
      <w:proofErr w:type="spellEnd"/>
      <w:r w:rsidRPr="00047914">
        <w:rPr>
          <w:rFonts w:ascii="inherit" w:eastAsia="Times New Roman" w:hAnsi="inherit" w:cs="Calibri"/>
          <w:color w:val="000000"/>
          <w:kern w:val="0"/>
          <w:sz w:val="24"/>
          <w:szCs w:val="24"/>
          <w:bdr w:val="none" w:sz="0" w:space="0" w:color="auto" w:frame="1"/>
          <w14:ligatures w14:val="none"/>
        </w:rPr>
        <w:t xml:space="preserve">-Pan, B., &amp; Saba, T. (2022). Women entrepreneurship: towards an inclusive innovation ecosystem. </w:t>
      </w:r>
      <w:r w:rsidRPr="00047914">
        <w:rPr>
          <w:rFonts w:ascii="inherit" w:eastAsia="Times New Roman" w:hAnsi="inherit" w:cs="Calibri"/>
          <w:i/>
          <w:iCs/>
          <w:color w:val="000000"/>
          <w:kern w:val="0"/>
          <w:sz w:val="24"/>
          <w:szCs w:val="24"/>
          <w:bdr w:val="none" w:sz="0" w:space="0" w:color="auto" w:frame="1"/>
          <w14:ligatures w14:val="none"/>
        </w:rPr>
        <w:t>Journal of Small Business &amp; Entrepreneurship</w:t>
      </w:r>
      <w:r w:rsidRPr="00047914">
        <w:rPr>
          <w:rFonts w:ascii="inherit" w:eastAsia="Times New Roman" w:hAnsi="inherit" w:cs="Calibri"/>
          <w:color w:val="000000"/>
          <w:kern w:val="0"/>
          <w:sz w:val="24"/>
          <w:szCs w:val="24"/>
          <w:bdr w:val="none" w:sz="0" w:space="0" w:color="auto" w:frame="1"/>
          <w14:ligatures w14:val="none"/>
        </w:rPr>
        <w:t>, 34(5), 475-482.</w:t>
      </w:r>
    </w:p>
    <w:p w14:paraId="5EC9C060" w14:textId="2F5C7E6E" w:rsidR="00047914" w:rsidRPr="00047914" w:rsidRDefault="00047914" w:rsidP="007B7CEF">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lang w:val="es-ES"/>
          <w14:ligatures w14:val="none"/>
        </w:rPr>
        <w:t xml:space="preserve">De Simone, S., &amp; </w:t>
      </w:r>
      <w:proofErr w:type="spellStart"/>
      <w:r w:rsidRPr="00047914">
        <w:rPr>
          <w:rFonts w:ascii="inherit" w:eastAsia="Times New Roman" w:hAnsi="inherit" w:cs="Calibri"/>
          <w:color w:val="000000"/>
          <w:kern w:val="0"/>
          <w:sz w:val="24"/>
          <w:szCs w:val="24"/>
          <w:bdr w:val="none" w:sz="0" w:space="0" w:color="auto" w:frame="1"/>
          <w:lang w:val="es-ES"/>
          <w14:ligatures w14:val="none"/>
        </w:rPr>
        <w:t>Priola</w:t>
      </w:r>
      <w:proofErr w:type="spellEnd"/>
      <w:r w:rsidRPr="00047914">
        <w:rPr>
          <w:rFonts w:ascii="inherit" w:eastAsia="Times New Roman" w:hAnsi="inherit" w:cs="Calibri"/>
          <w:color w:val="000000"/>
          <w:kern w:val="0"/>
          <w:sz w:val="24"/>
          <w:szCs w:val="24"/>
          <w:bdr w:val="none" w:sz="0" w:space="0" w:color="auto" w:frame="1"/>
          <w:lang w:val="es-ES"/>
          <w14:ligatures w14:val="none"/>
        </w:rPr>
        <w:t xml:space="preserve">, V. (2022). </w:t>
      </w:r>
      <w:r w:rsidRPr="00047914">
        <w:rPr>
          <w:rFonts w:ascii="inherit" w:eastAsia="Times New Roman" w:hAnsi="inherit" w:cs="Calibri"/>
          <w:color w:val="000000"/>
          <w:kern w:val="0"/>
          <w:sz w:val="24"/>
          <w:szCs w:val="24"/>
          <w:bdr w:val="none" w:sz="0" w:space="0" w:color="auto" w:frame="1"/>
          <w14:ligatures w14:val="none"/>
        </w:rPr>
        <w:t xml:space="preserve">“Who’s that girl?” The entrepreneur as a super (wo) man. </w:t>
      </w:r>
      <w:r w:rsidRPr="00047914">
        <w:rPr>
          <w:rFonts w:ascii="inherit" w:eastAsia="Times New Roman" w:hAnsi="inherit" w:cs="Calibri"/>
          <w:i/>
          <w:iCs/>
          <w:color w:val="000000"/>
          <w:kern w:val="0"/>
          <w:sz w:val="24"/>
          <w:szCs w:val="24"/>
          <w:bdr w:val="none" w:sz="0" w:space="0" w:color="auto" w:frame="1"/>
          <w14:ligatures w14:val="none"/>
        </w:rPr>
        <w:t xml:space="preserve">Canadian Journal of Administrative Sciences/Revue Canadienne des Sciences de </w:t>
      </w:r>
      <w:proofErr w:type="spellStart"/>
      <w:r w:rsidRPr="00047914">
        <w:rPr>
          <w:rFonts w:ascii="inherit" w:eastAsia="Times New Roman" w:hAnsi="inherit" w:cs="Calibri"/>
          <w:i/>
          <w:iCs/>
          <w:color w:val="000000"/>
          <w:kern w:val="0"/>
          <w:sz w:val="24"/>
          <w:szCs w:val="24"/>
          <w:bdr w:val="none" w:sz="0" w:space="0" w:color="auto" w:frame="1"/>
          <w14:ligatures w14:val="none"/>
        </w:rPr>
        <w:t>l'Administration</w:t>
      </w:r>
      <w:proofErr w:type="spellEnd"/>
      <w:r w:rsidRPr="00047914">
        <w:rPr>
          <w:rFonts w:ascii="inherit" w:eastAsia="Times New Roman" w:hAnsi="inherit" w:cs="Calibri"/>
          <w:color w:val="000000"/>
          <w:kern w:val="0"/>
          <w:sz w:val="24"/>
          <w:szCs w:val="24"/>
          <w:bdr w:val="none" w:sz="0" w:space="0" w:color="auto" w:frame="1"/>
          <w14:ligatures w14:val="none"/>
        </w:rPr>
        <w:t>, 39(1), 97-111.</w:t>
      </w:r>
    </w:p>
    <w:p w14:paraId="1D8FF07E" w14:textId="0D7B9FDA" w:rsidR="00047914" w:rsidRPr="00047914" w:rsidRDefault="00047914" w:rsidP="00F35214">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proofErr w:type="spellStart"/>
      <w:r w:rsidRPr="00047914">
        <w:rPr>
          <w:rFonts w:ascii="inherit" w:eastAsia="Times New Roman" w:hAnsi="inherit" w:cs="Calibri"/>
          <w:color w:val="000000"/>
          <w:kern w:val="0"/>
          <w:sz w:val="24"/>
          <w:szCs w:val="24"/>
          <w:bdr w:val="none" w:sz="0" w:space="0" w:color="auto" w:frame="1"/>
          <w14:ligatures w14:val="none"/>
        </w:rPr>
        <w:t>Eagly</w:t>
      </w:r>
      <w:proofErr w:type="spellEnd"/>
      <w:r w:rsidRPr="00047914">
        <w:rPr>
          <w:rFonts w:ascii="inherit" w:eastAsia="Times New Roman" w:hAnsi="inherit" w:cs="Calibri"/>
          <w:color w:val="000000"/>
          <w:kern w:val="0"/>
          <w:sz w:val="24"/>
          <w:szCs w:val="24"/>
          <w:bdr w:val="none" w:sz="0" w:space="0" w:color="auto" w:frame="1"/>
          <w14:ligatures w14:val="none"/>
        </w:rPr>
        <w:t xml:space="preserve">, A. H., &amp; Wood, W. (2012). Social role theory. </w:t>
      </w:r>
      <w:r w:rsidRPr="00047914">
        <w:rPr>
          <w:rFonts w:ascii="inherit" w:eastAsia="Times New Roman" w:hAnsi="inherit" w:cs="Calibri"/>
          <w:i/>
          <w:iCs/>
          <w:color w:val="000000"/>
          <w:kern w:val="0"/>
          <w:sz w:val="24"/>
          <w:szCs w:val="24"/>
          <w:bdr w:val="none" w:sz="0" w:space="0" w:color="auto" w:frame="1"/>
          <w14:ligatures w14:val="none"/>
        </w:rPr>
        <w:t>Handbook of theories of social psychology</w:t>
      </w:r>
      <w:r w:rsidRPr="00047914">
        <w:rPr>
          <w:rFonts w:ascii="inherit" w:eastAsia="Times New Roman" w:hAnsi="inherit" w:cs="Calibri"/>
          <w:color w:val="000000"/>
          <w:kern w:val="0"/>
          <w:sz w:val="24"/>
          <w:szCs w:val="24"/>
          <w:bdr w:val="none" w:sz="0" w:space="0" w:color="auto" w:frame="1"/>
          <w14:ligatures w14:val="none"/>
        </w:rPr>
        <w:t>, 2, 458-476.</w:t>
      </w:r>
    </w:p>
    <w:p w14:paraId="3156A91C" w14:textId="207809BC" w:rsidR="00047914" w:rsidRPr="00047914" w:rsidRDefault="00047914" w:rsidP="000128DB">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t xml:space="preserve">Eddleston, K. A., </w:t>
      </w:r>
      <w:proofErr w:type="spellStart"/>
      <w:r w:rsidRPr="00047914">
        <w:rPr>
          <w:rFonts w:ascii="inherit" w:eastAsia="Times New Roman" w:hAnsi="inherit" w:cs="Calibri"/>
          <w:color w:val="000000"/>
          <w:kern w:val="0"/>
          <w:sz w:val="24"/>
          <w:szCs w:val="24"/>
          <w:bdr w:val="none" w:sz="0" w:space="0" w:color="auto" w:frame="1"/>
          <w14:ligatures w14:val="none"/>
        </w:rPr>
        <w:t>Ladge</w:t>
      </w:r>
      <w:proofErr w:type="spellEnd"/>
      <w:r w:rsidRPr="00047914">
        <w:rPr>
          <w:rFonts w:ascii="inherit" w:eastAsia="Times New Roman" w:hAnsi="inherit" w:cs="Calibri"/>
          <w:color w:val="000000"/>
          <w:kern w:val="0"/>
          <w:sz w:val="24"/>
          <w:szCs w:val="24"/>
          <w:bdr w:val="none" w:sz="0" w:space="0" w:color="auto" w:frame="1"/>
          <w14:ligatures w14:val="none"/>
        </w:rPr>
        <w:t xml:space="preserve">, J. J., </w:t>
      </w:r>
      <w:proofErr w:type="spellStart"/>
      <w:r w:rsidRPr="00047914">
        <w:rPr>
          <w:rFonts w:ascii="inherit" w:eastAsia="Times New Roman" w:hAnsi="inherit" w:cs="Calibri"/>
          <w:color w:val="000000"/>
          <w:kern w:val="0"/>
          <w:sz w:val="24"/>
          <w:szCs w:val="24"/>
          <w:bdr w:val="none" w:sz="0" w:space="0" w:color="auto" w:frame="1"/>
          <w14:ligatures w14:val="none"/>
        </w:rPr>
        <w:t>Mitteness</w:t>
      </w:r>
      <w:proofErr w:type="spellEnd"/>
      <w:r w:rsidRPr="00047914">
        <w:rPr>
          <w:rFonts w:ascii="inherit" w:eastAsia="Times New Roman" w:hAnsi="inherit" w:cs="Calibri"/>
          <w:color w:val="000000"/>
          <w:kern w:val="0"/>
          <w:sz w:val="24"/>
          <w:szCs w:val="24"/>
          <w:bdr w:val="none" w:sz="0" w:space="0" w:color="auto" w:frame="1"/>
          <w14:ligatures w14:val="none"/>
        </w:rPr>
        <w:t xml:space="preserve">, C., &amp; Balachandra, L. (2016). Do you see what I see? Signaling effects of gender and firm characteristics on financing entrepreneurial ventures. </w:t>
      </w:r>
      <w:r w:rsidRPr="00047914">
        <w:rPr>
          <w:rFonts w:ascii="inherit" w:eastAsia="Times New Roman" w:hAnsi="inherit" w:cs="Calibri"/>
          <w:i/>
          <w:iCs/>
          <w:color w:val="000000"/>
          <w:kern w:val="0"/>
          <w:sz w:val="24"/>
          <w:szCs w:val="24"/>
          <w:bdr w:val="none" w:sz="0" w:space="0" w:color="auto" w:frame="1"/>
          <w14:ligatures w14:val="none"/>
        </w:rPr>
        <w:t>Entrepreneurship Theory and Practice</w:t>
      </w:r>
      <w:r w:rsidRPr="00047914">
        <w:rPr>
          <w:rFonts w:ascii="inherit" w:eastAsia="Times New Roman" w:hAnsi="inherit" w:cs="Calibri"/>
          <w:color w:val="000000"/>
          <w:kern w:val="0"/>
          <w:sz w:val="24"/>
          <w:szCs w:val="24"/>
          <w:bdr w:val="none" w:sz="0" w:space="0" w:color="auto" w:frame="1"/>
          <w14:ligatures w14:val="none"/>
        </w:rPr>
        <w:t>, 40(3), 489-514.</w:t>
      </w:r>
    </w:p>
    <w:p w14:paraId="46F8D036" w14:textId="5D33F9A7" w:rsidR="00047914" w:rsidRPr="00047914" w:rsidRDefault="00047914" w:rsidP="00F97586">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lang w:val="es-ES"/>
          <w14:ligatures w14:val="none"/>
        </w:rPr>
        <w:t xml:space="preserve">Goldstein, M., </w:t>
      </w:r>
      <w:proofErr w:type="spellStart"/>
      <w:r w:rsidRPr="00047914">
        <w:rPr>
          <w:rFonts w:ascii="inherit" w:eastAsia="Times New Roman" w:hAnsi="inherit" w:cs="Calibri"/>
          <w:color w:val="000000"/>
          <w:kern w:val="0"/>
          <w:sz w:val="24"/>
          <w:szCs w:val="24"/>
          <w:bdr w:val="none" w:sz="0" w:space="0" w:color="auto" w:frame="1"/>
          <w:lang w:val="es-ES"/>
          <w14:ligatures w14:val="none"/>
        </w:rPr>
        <w:t>Gonzalez</w:t>
      </w:r>
      <w:proofErr w:type="spellEnd"/>
      <w:r w:rsidRPr="00047914">
        <w:rPr>
          <w:rFonts w:ascii="inherit" w:eastAsia="Times New Roman" w:hAnsi="inherit" w:cs="Calibri"/>
          <w:color w:val="000000"/>
          <w:kern w:val="0"/>
          <w:sz w:val="24"/>
          <w:szCs w:val="24"/>
          <w:bdr w:val="none" w:sz="0" w:space="0" w:color="auto" w:frame="1"/>
          <w:lang w:val="es-ES"/>
          <w14:ligatures w14:val="none"/>
        </w:rPr>
        <w:t xml:space="preserve">, P., </w:t>
      </w:r>
      <w:proofErr w:type="spellStart"/>
      <w:r w:rsidRPr="00047914">
        <w:rPr>
          <w:rFonts w:ascii="inherit" w:eastAsia="Times New Roman" w:hAnsi="inherit" w:cs="Calibri"/>
          <w:color w:val="000000"/>
          <w:kern w:val="0"/>
          <w:sz w:val="24"/>
          <w:szCs w:val="24"/>
          <w:bdr w:val="none" w:sz="0" w:space="0" w:color="auto" w:frame="1"/>
          <w:lang w:val="es-ES"/>
          <w14:ligatures w14:val="none"/>
        </w:rPr>
        <w:t>Papineni</w:t>
      </w:r>
      <w:proofErr w:type="spellEnd"/>
      <w:r w:rsidRPr="00047914">
        <w:rPr>
          <w:rFonts w:ascii="inherit" w:eastAsia="Times New Roman" w:hAnsi="inherit" w:cs="Calibri"/>
          <w:color w:val="000000"/>
          <w:kern w:val="0"/>
          <w:sz w:val="24"/>
          <w:szCs w:val="24"/>
          <w:bdr w:val="none" w:sz="0" w:space="0" w:color="auto" w:frame="1"/>
          <w:lang w:val="es-ES"/>
          <w14:ligatures w14:val="none"/>
        </w:rPr>
        <w:t xml:space="preserve">, S., &amp; </w:t>
      </w:r>
      <w:proofErr w:type="spellStart"/>
      <w:r w:rsidRPr="00047914">
        <w:rPr>
          <w:rFonts w:ascii="inherit" w:eastAsia="Times New Roman" w:hAnsi="inherit" w:cs="Calibri"/>
          <w:color w:val="000000"/>
          <w:kern w:val="0"/>
          <w:sz w:val="24"/>
          <w:szCs w:val="24"/>
          <w:bdr w:val="none" w:sz="0" w:space="0" w:color="auto" w:frame="1"/>
          <w:lang w:val="es-ES"/>
          <w14:ligatures w14:val="none"/>
        </w:rPr>
        <w:t>Wimpey</w:t>
      </w:r>
      <w:proofErr w:type="spellEnd"/>
      <w:r w:rsidRPr="00047914">
        <w:rPr>
          <w:rFonts w:ascii="inherit" w:eastAsia="Times New Roman" w:hAnsi="inherit" w:cs="Calibri"/>
          <w:color w:val="000000"/>
          <w:kern w:val="0"/>
          <w:sz w:val="24"/>
          <w:szCs w:val="24"/>
          <w:bdr w:val="none" w:sz="0" w:space="0" w:color="auto" w:frame="1"/>
          <w:lang w:val="es-ES"/>
          <w14:ligatures w14:val="none"/>
        </w:rPr>
        <w:t xml:space="preserve">, J. (2022). </w:t>
      </w:r>
      <w:r w:rsidRPr="00047914">
        <w:rPr>
          <w:rFonts w:ascii="inherit" w:eastAsia="Times New Roman" w:hAnsi="inherit" w:cs="Calibri"/>
          <w:color w:val="000000"/>
          <w:kern w:val="0"/>
          <w:sz w:val="24"/>
          <w:szCs w:val="24"/>
          <w:bdr w:val="none" w:sz="0" w:space="0" w:color="auto" w:frame="1"/>
          <w14:ligatures w14:val="none"/>
        </w:rPr>
        <w:t xml:space="preserve">Childcare, COVID-19 and Female Firm Exit: Impact of COVID-19 School Closure Policies on Global Gender Gaps in Business Outcomes. </w:t>
      </w:r>
      <w:r w:rsidRPr="00047914">
        <w:rPr>
          <w:rFonts w:ascii="inherit" w:eastAsia="Times New Roman" w:hAnsi="inherit" w:cs="Calibri"/>
          <w:i/>
          <w:iCs/>
          <w:color w:val="000000"/>
          <w:kern w:val="0"/>
          <w:sz w:val="24"/>
          <w:szCs w:val="24"/>
          <w:bdr w:val="none" w:sz="0" w:space="0" w:color="auto" w:frame="1"/>
          <w14:ligatures w14:val="none"/>
        </w:rPr>
        <w:t>The World Bank</w:t>
      </w:r>
      <w:r w:rsidRPr="00047914">
        <w:rPr>
          <w:rFonts w:ascii="inherit" w:eastAsia="Times New Roman" w:hAnsi="inherit" w:cs="Calibri"/>
          <w:color w:val="000000"/>
          <w:kern w:val="0"/>
          <w:sz w:val="24"/>
          <w:szCs w:val="24"/>
          <w:bdr w:val="none" w:sz="0" w:space="0" w:color="auto" w:frame="1"/>
          <w14:ligatures w14:val="none"/>
        </w:rPr>
        <w:t>.</w:t>
      </w:r>
    </w:p>
    <w:p w14:paraId="26B08B18" w14:textId="3DF78242" w:rsidR="00047914" w:rsidRPr="00047914" w:rsidRDefault="00047914" w:rsidP="00671960">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t xml:space="preserve">Jule, A. (2014). Gender Theory. In: Michalos, A.C. (eds) Encyclopedia of Quality of Life and Well-Being Research. </w:t>
      </w:r>
      <w:r w:rsidRPr="00047914">
        <w:rPr>
          <w:rFonts w:ascii="inherit" w:eastAsia="Times New Roman" w:hAnsi="inherit" w:cs="Calibri"/>
          <w:i/>
          <w:iCs/>
          <w:color w:val="000000"/>
          <w:kern w:val="0"/>
          <w:sz w:val="24"/>
          <w:szCs w:val="24"/>
          <w:bdr w:val="none" w:sz="0" w:space="0" w:color="auto" w:frame="1"/>
          <w14:ligatures w14:val="none"/>
        </w:rPr>
        <w:t>Springer</w:t>
      </w:r>
      <w:r w:rsidRPr="00047914">
        <w:rPr>
          <w:rFonts w:ascii="inherit" w:eastAsia="Times New Roman" w:hAnsi="inherit" w:cs="Calibri"/>
          <w:color w:val="000000"/>
          <w:kern w:val="0"/>
          <w:sz w:val="24"/>
          <w:szCs w:val="24"/>
          <w:bdr w:val="none" w:sz="0" w:space="0" w:color="auto" w:frame="1"/>
          <w14:ligatures w14:val="none"/>
        </w:rPr>
        <w:t>, Dordrecht.</w:t>
      </w:r>
    </w:p>
    <w:p w14:paraId="4A91EBA9" w14:textId="1601E82D" w:rsidR="00047914" w:rsidRPr="00047914" w:rsidRDefault="00047914" w:rsidP="00A6089D">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t>Knight, M. (2016). Race-</w:t>
      </w:r>
      <w:proofErr w:type="spellStart"/>
      <w:r w:rsidRPr="00047914">
        <w:rPr>
          <w:rFonts w:ascii="inherit" w:eastAsia="Times New Roman" w:hAnsi="inherit" w:cs="Calibri"/>
          <w:color w:val="000000"/>
          <w:kern w:val="0"/>
          <w:sz w:val="24"/>
          <w:szCs w:val="24"/>
          <w:bdr w:val="none" w:sz="0" w:space="0" w:color="auto" w:frame="1"/>
          <w14:ligatures w14:val="none"/>
        </w:rPr>
        <w:t>ing</w:t>
      </w:r>
      <w:proofErr w:type="spellEnd"/>
      <w:r w:rsidRPr="00047914">
        <w:rPr>
          <w:rFonts w:ascii="inherit" w:eastAsia="Times New Roman" w:hAnsi="inherit" w:cs="Calibri"/>
          <w:color w:val="000000"/>
          <w:kern w:val="0"/>
          <w:sz w:val="24"/>
          <w:szCs w:val="24"/>
          <w:bdr w:val="none" w:sz="0" w:space="0" w:color="auto" w:frame="1"/>
          <w14:ligatures w14:val="none"/>
        </w:rPr>
        <w:t xml:space="preserve">, classing and gendering racialized women’s participation in entrepreneurship: racialized women’s participation in entrepreneurship. </w:t>
      </w:r>
      <w:r w:rsidRPr="00047914">
        <w:rPr>
          <w:rFonts w:ascii="inherit" w:eastAsia="Times New Roman" w:hAnsi="inherit" w:cs="Calibri"/>
          <w:i/>
          <w:iCs/>
          <w:color w:val="000000"/>
          <w:kern w:val="0"/>
          <w:sz w:val="24"/>
          <w:szCs w:val="24"/>
          <w:bdr w:val="none" w:sz="0" w:space="0" w:color="auto" w:frame="1"/>
          <w14:ligatures w14:val="none"/>
        </w:rPr>
        <w:t>Gender, Work and Organization</w:t>
      </w:r>
      <w:r w:rsidRPr="00047914">
        <w:rPr>
          <w:rFonts w:ascii="inherit" w:eastAsia="Times New Roman" w:hAnsi="inherit" w:cs="Calibri"/>
          <w:color w:val="000000"/>
          <w:kern w:val="0"/>
          <w:sz w:val="24"/>
          <w:szCs w:val="24"/>
          <w:bdr w:val="none" w:sz="0" w:space="0" w:color="auto" w:frame="1"/>
          <w14:ligatures w14:val="none"/>
        </w:rPr>
        <w:t>. Vol. 23, No. 3, pp.310–327.</w:t>
      </w:r>
    </w:p>
    <w:p w14:paraId="3D5F7ABB" w14:textId="1559E376" w:rsidR="00047914" w:rsidRPr="00047914" w:rsidRDefault="00047914" w:rsidP="00E709A5">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lastRenderedPageBreak/>
        <w:t xml:space="preserve">Olszewski, T., &amp; White, T. (2022). Summary and analysis of request for information to make access to the innovation ecosystem more inclusive and equitable. </w:t>
      </w:r>
      <w:hyperlink r:id="rId5" w:history="1">
        <w:r w:rsidRPr="00047914">
          <w:rPr>
            <w:rFonts w:ascii="inherit" w:eastAsia="Times New Roman" w:hAnsi="inherit" w:cs="Calibri"/>
            <w:color w:val="0000FF"/>
            <w:kern w:val="0"/>
            <w:sz w:val="24"/>
            <w:szCs w:val="24"/>
            <w:u w:val="single"/>
            <w:bdr w:val="none" w:sz="0" w:space="0" w:color="auto" w:frame="1"/>
            <w14:ligatures w14:val="none"/>
          </w:rPr>
          <w:t>https://www.whitehouse.gov/wp-content/</w:t>
        </w:r>
      </w:hyperlink>
      <w:r w:rsidRPr="00047914">
        <w:rPr>
          <w:rFonts w:ascii="inherit" w:eastAsia="Times New Roman" w:hAnsi="inherit" w:cs="Calibri"/>
          <w:color w:val="000000"/>
          <w:kern w:val="0"/>
          <w:sz w:val="24"/>
          <w:szCs w:val="24"/>
          <w:bdr w:val="none" w:sz="0" w:space="0" w:color="auto" w:frame="1"/>
          <w14:ligatures w14:val="none"/>
        </w:rPr>
        <w:t xml:space="preserve"> uploads/2022/09/09-2022-Equitable_Innovation_Ecosystem_RFI_Analysis_Public_Clean.pdf</w:t>
      </w:r>
    </w:p>
    <w:p w14:paraId="3B37E0D9" w14:textId="74428417" w:rsidR="00047914" w:rsidRPr="00047914" w:rsidRDefault="00047914" w:rsidP="00353CF0">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t xml:space="preserve">Marlow, S., Greene, F.J. and Coad, A. (2018). Advancing gendered analyses of entrepreneurship: a critical exploration of entrepreneurial activity among gay men and lesbian women: advancing gendered analyses of entrepreneurship. </w:t>
      </w:r>
      <w:r w:rsidRPr="00047914">
        <w:rPr>
          <w:rFonts w:ascii="inherit" w:eastAsia="Times New Roman" w:hAnsi="inherit" w:cs="Calibri"/>
          <w:i/>
          <w:iCs/>
          <w:color w:val="000000"/>
          <w:kern w:val="0"/>
          <w:sz w:val="24"/>
          <w:szCs w:val="24"/>
          <w:bdr w:val="none" w:sz="0" w:space="0" w:color="auto" w:frame="1"/>
          <w14:ligatures w14:val="none"/>
        </w:rPr>
        <w:t>British Journal of Management</w:t>
      </w:r>
      <w:r w:rsidRPr="00047914">
        <w:rPr>
          <w:rFonts w:ascii="inherit" w:eastAsia="Times New Roman" w:hAnsi="inherit" w:cs="Calibri"/>
          <w:color w:val="000000"/>
          <w:kern w:val="0"/>
          <w:sz w:val="24"/>
          <w:szCs w:val="24"/>
          <w:bdr w:val="none" w:sz="0" w:space="0" w:color="auto" w:frame="1"/>
          <w14:ligatures w14:val="none"/>
        </w:rPr>
        <w:t>, Vol. 29, No. 1, pp. 118–135.</w:t>
      </w:r>
    </w:p>
    <w:p w14:paraId="12C10198" w14:textId="5B21678E" w:rsidR="00047914" w:rsidRPr="00047914" w:rsidRDefault="00047914" w:rsidP="008F377B">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t xml:space="preserve">Meyer, V., </w:t>
      </w:r>
      <w:proofErr w:type="spellStart"/>
      <w:r w:rsidRPr="00047914">
        <w:rPr>
          <w:rFonts w:ascii="inherit" w:eastAsia="Times New Roman" w:hAnsi="inherit" w:cs="Calibri"/>
          <w:color w:val="000000"/>
          <w:kern w:val="0"/>
          <w:sz w:val="24"/>
          <w:szCs w:val="24"/>
          <w:bdr w:val="none" w:sz="0" w:space="0" w:color="auto" w:frame="1"/>
          <w14:ligatures w14:val="none"/>
        </w:rPr>
        <w:t>Pakura</w:t>
      </w:r>
      <w:proofErr w:type="spellEnd"/>
      <w:r w:rsidRPr="00047914">
        <w:rPr>
          <w:rFonts w:ascii="inherit" w:eastAsia="Times New Roman" w:hAnsi="inherit" w:cs="Calibri"/>
          <w:color w:val="000000"/>
          <w:kern w:val="0"/>
          <w:sz w:val="24"/>
          <w:szCs w:val="24"/>
          <w:bdr w:val="none" w:sz="0" w:space="0" w:color="auto" w:frame="1"/>
          <w14:ligatures w14:val="none"/>
        </w:rPr>
        <w:t xml:space="preserve">, S.  and Seidel, V.  (2021). ‘Engaging with entrepreneurial diversity: an intersectional framework’, </w:t>
      </w:r>
      <w:r w:rsidRPr="00047914">
        <w:rPr>
          <w:rFonts w:ascii="inherit" w:eastAsia="Times New Roman" w:hAnsi="inherit" w:cs="Calibri"/>
          <w:i/>
          <w:iCs/>
          <w:color w:val="000000"/>
          <w:kern w:val="0"/>
          <w:sz w:val="24"/>
          <w:szCs w:val="24"/>
          <w:bdr w:val="none" w:sz="0" w:space="0" w:color="auto" w:frame="1"/>
          <w14:ligatures w14:val="none"/>
        </w:rPr>
        <w:t>Int. J. Entrepreneurial Venturing</w:t>
      </w:r>
      <w:r w:rsidRPr="00047914">
        <w:rPr>
          <w:rFonts w:ascii="inherit" w:eastAsia="Times New Roman" w:hAnsi="inherit" w:cs="Calibri"/>
          <w:color w:val="000000"/>
          <w:kern w:val="0"/>
          <w:sz w:val="24"/>
          <w:szCs w:val="24"/>
          <w:bdr w:val="none" w:sz="0" w:space="0" w:color="auto" w:frame="1"/>
          <w14:ligatures w14:val="none"/>
        </w:rPr>
        <w:t>, Vol. 13, No. 3, pp.288–318.</w:t>
      </w:r>
    </w:p>
    <w:p w14:paraId="33DA7D67" w14:textId="1A5C97B2" w:rsidR="00047914" w:rsidRPr="00047914" w:rsidRDefault="00047914" w:rsidP="009734BA">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t>Pico Gil, S., &amp; Wendt, J. (2022). Adding the Missing Perspective: A Feminist Research on Influential Factors of Female Entrepreneurship in the Context of Developing and Developed Countries.</w:t>
      </w:r>
    </w:p>
    <w:p w14:paraId="6DCC2DDF" w14:textId="4DF15390" w:rsidR="00047914" w:rsidRPr="00047914" w:rsidRDefault="00047914" w:rsidP="00D10558">
      <w:pPr>
        <w:numPr>
          <w:ilvl w:val="0"/>
          <w:numId w:val="2"/>
        </w:numPr>
        <w:spacing w:before="100" w:beforeAutospacing="1" w:after="100" w:afterAutospacing="1" w:line="240" w:lineRule="auto"/>
        <w:textAlignment w:val="baseline"/>
        <w:rPr>
          <w:rFonts w:ascii="Calibri" w:eastAsia="Times New Roman" w:hAnsi="Calibri" w:cs="Calibri"/>
          <w:color w:val="000000"/>
          <w:kern w:val="0"/>
          <w:sz w:val="24"/>
          <w:szCs w:val="24"/>
          <w14:ligatures w14:val="none"/>
        </w:rPr>
      </w:pPr>
      <w:r w:rsidRPr="00047914">
        <w:rPr>
          <w:rFonts w:ascii="inherit" w:eastAsia="Times New Roman" w:hAnsi="inherit" w:cs="Calibri"/>
          <w:color w:val="000000"/>
          <w:kern w:val="0"/>
          <w:sz w:val="24"/>
          <w:szCs w:val="24"/>
          <w:bdr w:val="none" w:sz="0" w:space="0" w:color="auto" w:frame="1"/>
          <w14:ligatures w14:val="none"/>
        </w:rPr>
        <w:t xml:space="preserve">Williams, J. and Patterson, N. (2019). New directions for entrepreneurship through a gender and disability lens. </w:t>
      </w:r>
      <w:r w:rsidRPr="00047914">
        <w:rPr>
          <w:rFonts w:ascii="inherit" w:eastAsia="Times New Roman" w:hAnsi="inherit" w:cs="Calibri"/>
          <w:i/>
          <w:iCs/>
          <w:color w:val="000000"/>
          <w:kern w:val="0"/>
          <w:sz w:val="24"/>
          <w:szCs w:val="24"/>
          <w:bdr w:val="none" w:sz="0" w:space="0" w:color="auto" w:frame="1"/>
          <w14:ligatures w14:val="none"/>
        </w:rPr>
        <w:t>International Journal of Entrepreneurial Behavior and Research.</w:t>
      </w:r>
      <w:r w:rsidRPr="00047914">
        <w:rPr>
          <w:rFonts w:ascii="inherit" w:eastAsia="Times New Roman" w:hAnsi="inherit" w:cs="Calibri"/>
          <w:color w:val="000000"/>
          <w:kern w:val="0"/>
          <w:sz w:val="24"/>
          <w:szCs w:val="24"/>
          <w:bdr w:val="none" w:sz="0" w:space="0" w:color="auto" w:frame="1"/>
          <w14:ligatures w14:val="none"/>
        </w:rPr>
        <w:t xml:space="preserve"> Vol. 25, No. 8, pp. 1706–1726.</w:t>
      </w:r>
    </w:p>
    <w:p w14:paraId="4D08BCB9" w14:textId="77777777" w:rsidR="00047914" w:rsidRPr="00047914" w:rsidRDefault="00047914" w:rsidP="00047914">
      <w:pPr>
        <w:numPr>
          <w:ilvl w:val="0"/>
          <w:numId w:val="2"/>
        </w:numPr>
        <w:spacing w:after="0" w:line="240" w:lineRule="auto"/>
        <w:textAlignment w:val="baseline"/>
        <w:rPr>
          <w:rFonts w:ascii="Calibri" w:eastAsia="Times New Roman" w:hAnsi="Calibri" w:cs="Calibri"/>
          <w:color w:val="000000"/>
          <w:kern w:val="0"/>
          <w:sz w:val="24"/>
          <w:szCs w:val="24"/>
          <w14:ligatures w14:val="none"/>
        </w:rPr>
      </w:pPr>
      <w:r w:rsidRPr="00047914">
        <w:rPr>
          <w:rFonts w:ascii="Times New Roman" w:eastAsia="Times New Roman" w:hAnsi="Times New Roman" w:cs="Times New Roman"/>
          <w:color w:val="000000"/>
          <w:kern w:val="0"/>
          <w:sz w:val="14"/>
          <w:szCs w:val="14"/>
          <w:bdr w:val="none" w:sz="0" w:space="0" w:color="auto" w:frame="1"/>
          <w14:ligatures w14:val="none"/>
        </w:rPr>
        <w:t> </w:t>
      </w:r>
      <w:r w:rsidRPr="00047914">
        <w:rPr>
          <w:rFonts w:ascii="inherit" w:eastAsia="Times New Roman" w:hAnsi="inherit" w:cs="Calibri"/>
          <w:color w:val="000000"/>
          <w:kern w:val="0"/>
          <w:sz w:val="24"/>
          <w:szCs w:val="24"/>
          <w:bdr w:val="none" w:sz="0" w:space="0" w:color="auto" w:frame="1"/>
          <w14:ligatures w14:val="none"/>
        </w:rPr>
        <w:t xml:space="preserve">World Bank SME Finance. (n.d.). </w:t>
      </w:r>
      <w:r w:rsidRPr="00047914">
        <w:rPr>
          <w:rFonts w:ascii="inherit" w:eastAsia="Times New Roman" w:hAnsi="inherit" w:cs="Calibri"/>
          <w:i/>
          <w:iCs/>
          <w:color w:val="000000"/>
          <w:kern w:val="0"/>
          <w:sz w:val="24"/>
          <w:szCs w:val="24"/>
          <w:bdr w:val="none" w:sz="0" w:space="0" w:color="auto" w:frame="1"/>
          <w14:ligatures w14:val="none"/>
        </w:rPr>
        <w:t>World Bank</w:t>
      </w:r>
      <w:r w:rsidRPr="00047914">
        <w:rPr>
          <w:rFonts w:ascii="inherit" w:eastAsia="Times New Roman" w:hAnsi="inherit" w:cs="Calibri"/>
          <w:color w:val="000000"/>
          <w:kern w:val="0"/>
          <w:sz w:val="24"/>
          <w:szCs w:val="24"/>
          <w:bdr w:val="none" w:sz="0" w:space="0" w:color="auto" w:frame="1"/>
          <w14:ligatures w14:val="none"/>
        </w:rPr>
        <w:t xml:space="preserve">. </w:t>
      </w:r>
      <w:hyperlink r:id="rId6" w:history="1">
        <w:r w:rsidRPr="00047914">
          <w:rPr>
            <w:rFonts w:ascii="inherit" w:eastAsia="Times New Roman" w:hAnsi="inherit" w:cs="Calibri"/>
            <w:color w:val="0000FF"/>
            <w:kern w:val="0"/>
            <w:sz w:val="24"/>
            <w:szCs w:val="24"/>
            <w:u w:val="single"/>
            <w:bdr w:val="none" w:sz="0" w:space="0" w:color="auto" w:frame="1"/>
            <w14:ligatures w14:val="none"/>
          </w:rPr>
          <w:t>https://www.worldbank.org/en/topic/smefinance</w:t>
        </w:r>
      </w:hyperlink>
    </w:p>
    <w:p w14:paraId="7B8F907C" w14:textId="77777777" w:rsidR="00D4615C" w:rsidRDefault="00D4615C"/>
    <w:sectPr w:rsidR="00D46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1C70"/>
    <w:multiLevelType w:val="multilevel"/>
    <w:tmpl w:val="5F78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8B196D"/>
    <w:multiLevelType w:val="multilevel"/>
    <w:tmpl w:val="1F02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0541313">
    <w:abstractNumId w:val="1"/>
  </w:num>
  <w:num w:numId="2" w16cid:durableId="134736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14"/>
    <w:rsid w:val="00047914"/>
    <w:rsid w:val="00677C52"/>
    <w:rsid w:val="006B6B0E"/>
    <w:rsid w:val="00D4615C"/>
    <w:rsid w:val="00E1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3155"/>
  <w15:chartTrackingRefBased/>
  <w15:docId w15:val="{6A797C23-2956-4625-B8D0-B3341E3E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914"/>
    <w:rPr>
      <w:rFonts w:eastAsiaTheme="majorEastAsia" w:cstheme="majorBidi"/>
      <w:color w:val="272727" w:themeColor="text1" w:themeTint="D8"/>
    </w:rPr>
  </w:style>
  <w:style w:type="paragraph" w:styleId="Title">
    <w:name w:val="Title"/>
    <w:basedOn w:val="Normal"/>
    <w:next w:val="Normal"/>
    <w:link w:val="TitleChar"/>
    <w:uiPriority w:val="10"/>
    <w:qFormat/>
    <w:rsid w:val="00047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914"/>
    <w:pPr>
      <w:spacing w:before="160"/>
      <w:jc w:val="center"/>
    </w:pPr>
    <w:rPr>
      <w:i/>
      <w:iCs/>
      <w:color w:val="404040" w:themeColor="text1" w:themeTint="BF"/>
    </w:rPr>
  </w:style>
  <w:style w:type="character" w:customStyle="1" w:styleId="QuoteChar">
    <w:name w:val="Quote Char"/>
    <w:basedOn w:val="DefaultParagraphFont"/>
    <w:link w:val="Quote"/>
    <w:uiPriority w:val="29"/>
    <w:rsid w:val="00047914"/>
    <w:rPr>
      <w:i/>
      <w:iCs/>
      <w:color w:val="404040" w:themeColor="text1" w:themeTint="BF"/>
    </w:rPr>
  </w:style>
  <w:style w:type="paragraph" w:styleId="ListParagraph">
    <w:name w:val="List Paragraph"/>
    <w:basedOn w:val="Normal"/>
    <w:uiPriority w:val="34"/>
    <w:qFormat/>
    <w:rsid w:val="00047914"/>
    <w:pPr>
      <w:ind w:left="720"/>
      <w:contextualSpacing/>
    </w:pPr>
  </w:style>
  <w:style w:type="character" w:styleId="IntenseEmphasis">
    <w:name w:val="Intense Emphasis"/>
    <w:basedOn w:val="DefaultParagraphFont"/>
    <w:uiPriority w:val="21"/>
    <w:qFormat/>
    <w:rsid w:val="00047914"/>
    <w:rPr>
      <w:i/>
      <w:iCs/>
      <w:color w:val="0F4761" w:themeColor="accent1" w:themeShade="BF"/>
    </w:rPr>
  </w:style>
  <w:style w:type="paragraph" w:styleId="IntenseQuote">
    <w:name w:val="Intense Quote"/>
    <w:basedOn w:val="Normal"/>
    <w:next w:val="Normal"/>
    <w:link w:val="IntenseQuoteChar"/>
    <w:uiPriority w:val="30"/>
    <w:qFormat/>
    <w:rsid w:val="00047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914"/>
    <w:rPr>
      <w:i/>
      <w:iCs/>
      <w:color w:val="0F4761" w:themeColor="accent1" w:themeShade="BF"/>
    </w:rPr>
  </w:style>
  <w:style w:type="character" w:styleId="IntenseReference">
    <w:name w:val="Intense Reference"/>
    <w:basedOn w:val="DefaultParagraphFont"/>
    <w:uiPriority w:val="32"/>
    <w:qFormat/>
    <w:rsid w:val="00047914"/>
    <w:rPr>
      <w:b/>
      <w:bCs/>
      <w:smallCaps/>
      <w:color w:val="0F4761" w:themeColor="accent1" w:themeShade="BF"/>
      <w:spacing w:val="5"/>
    </w:rPr>
  </w:style>
  <w:style w:type="paragraph" w:styleId="NormalWeb">
    <w:name w:val="Normal (Web)"/>
    <w:basedOn w:val="Normal"/>
    <w:uiPriority w:val="99"/>
    <w:semiHidden/>
    <w:unhideWhenUsed/>
    <w:rsid w:val="000479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47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bank.org/en/topic/smefinance" TargetMode="External"/><Relationship Id="rId5" Type="http://schemas.openxmlformats.org/officeDocument/2006/relationships/hyperlink" Target="https://www.whitehouse.gov/wp-cont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goldberg</dc:creator>
  <cp:keywords/>
  <dc:description/>
  <cp:lastModifiedBy>caren goldberg</cp:lastModifiedBy>
  <cp:revision>1</cp:revision>
  <dcterms:created xsi:type="dcterms:W3CDTF">2024-01-31T23:41:00Z</dcterms:created>
  <dcterms:modified xsi:type="dcterms:W3CDTF">2024-01-31T23:45:00Z</dcterms:modified>
</cp:coreProperties>
</file>